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BAE3CD4"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564B88" w:rsidRPr="00564B88">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564B88" w:rsidRPr="00564B88">
        <w:rPr>
          <w:rFonts w:ascii="Book Antiqua" w:hAnsi="Book Antiqua" w:cs="Arial"/>
          <w:b/>
          <w:bCs/>
          <w:color w:val="365F91" w:themeColor="accent1" w:themeShade="BF"/>
          <w:sz w:val="22"/>
          <w:szCs w:val="22"/>
        </w:rPr>
        <w:t>Khavda</w:t>
      </w:r>
      <w:proofErr w:type="spellEnd"/>
      <w:r w:rsidR="00564B88" w:rsidRPr="00564B88">
        <w:rPr>
          <w:rFonts w:ascii="Book Antiqua" w:hAnsi="Book Antiqua" w:cs="Arial"/>
          <w:b/>
          <w:bCs/>
          <w:color w:val="365F91" w:themeColor="accent1" w:themeShade="BF"/>
          <w:sz w:val="22"/>
          <w:szCs w:val="22"/>
        </w:rPr>
        <w:t xml:space="preserve"> area of Gujarat under Phase-IV (7 GW) Part E2</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31DEE8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64B88">
        <w:rPr>
          <w:rFonts w:ascii="Book Antiqua" w:hAnsi="Book Antiqua" w:cs="Arial"/>
          <w:b/>
          <w:bCs/>
          <w:color w:val="365F91" w:themeColor="accent1" w:themeShade="BF"/>
          <w:sz w:val="22"/>
          <w:szCs w:val="22"/>
        </w:rPr>
        <w:t>40</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F171E54"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E82296">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A7C6FBB"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E82296">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3C02397"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2" w:name="_Hlk155886343"/>
      <w:r w:rsidR="00125AD5" w:rsidRPr="00125AD5">
        <w:rPr>
          <w:rFonts w:ascii="Book Antiqua" w:hAnsi="Book Antiqua" w:cs="Arial"/>
          <w:b/>
          <w:bCs/>
          <w:sz w:val="22"/>
          <w:szCs w:val="22"/>
        </w:rPr>
        <w:t xml:space="preserve">Transmission System for evacuation of power from potential Renewable Energy Zone in </w:t>
      </w:r>
      <w:proofErr w:type="spellStart"/>
      <w:r w:rsidR="00125AD5" w:rsidRPr="00125AD5">
        <w:rPr>
          <w:rFonts w:ascii="Book Antiqua" w:hAnsi="Book Antiqua" w:cs="Arial"/>
          <w:b/>
          <w:bCs/>
          <w:sz w:val="22"/>
          <w:szCs w:val="22"/>
        </w:rPr>
        <w:t>Khavda</w:t>
      </w:r>
      <w:proofErr w:type="spellEnd"/>
      <w:r w:rsidR="00125AD5" w:rsidRPr="00125AD5">
        <w:rPr>
          <w:rFonts w:ascii="Book Antiqua" w:hAnsi="Book Antiqua" w:cs="Arial"/>
          <w:b/>
          <w:bCs/>
          <w:sz w:val="22"/>
          <w:szCs w:val="22"/>
        </w:rPr>
        <w:t xml:space="preserve"> area of Gujarat under Phase-IV (7 GW) Part E2</w:t>
      </w:r>
      <w:r w:rsidR="00271842" w:rsidRPr="00271842">
        <w:rPr>
          <w:rFonts w:ascii="Book Antiqua" w:hAnsi="Book Antiqua" w:cs="Arial"/>
          <w:b/>
          <w:bCs/>
          <w:sz w:val="22"/>
          <w:szCs w:val="22"/>
        </w:rPr>
        <w:t>”</w:t>
      </w:r>
      <w:bookmarkEnd w:id="2"/>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1EC66ED9"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125AD5" w:rsidRPr="00125AD5">
        <w:rPr>
          <w:rFonts w:ascii="Book Antiqua" w:eastAsia="Calibri" w:hAnsi="Book Antiqua" w:cs="Arial"/>
          <w:b/>
          <w:bCs/>
          <w:color w:val="0000FF"/>
          <w:sz w:val="22"/>
          <w:szCs w:val="22"/>
        </w:rPr>
        <w:t xml:space="preserve">Transmission System for evacuation of power from potential Renewable Energy Zone in </w:t>
      </w:r>
      <w:proofErr w:type="spellStart"/>
      <w:r w:rsidR="00125AD5" w:rsidRPr="00125AD5">
        <w:rPr>
          <w:rFonts w:ascii="Book Antiqua" w:eastAsia="Calibri" w:hAnsi="Book Antiqua" w:cs="Arial"/>
          <w:b/>
          <w:bCs/>
          <w:color w:val="0000FF"/>
          <w:sz w:val="22"/>
          <w:szCs w:val="22"/>
        </w:rPr>
        <w:t>Khavda</w:t>
      </w:r>
      <w:proofErr w:type="spellEnd"/>
      <w:r w:rsidR="00125AD5" w:rsidRPr="00125AD5">
        <w:rPr>
          <w:rFonts w:ascii="Book Antiqua" w:eastAsia="Calibri" w:hAnsi="Book Antiqua" w:cs="Arial"/>
          <w:b/>
          <w:bCs/>
          <w:color w:val="0000FF"/>
          <w:sz w:val="22"/>
          <w:szCs w:val="22"/>
        </w:rPr>
        <w:t xml:space="preserve"> area of Gujarat under Phase-IV (7 GW) Part E2</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176C288" w14:textId="625D9097" w:rsidR="00303EA1"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47" w:type="dxa"/>
        <w:jc w:val="center"/>
        <w:tblLayout w:type="fixed"/>
        <w:tblLook w:val="04A0" w:firstRow="1" w:lastRow="0" w:firstColumn="1" w:lastColumn="0" w:noHBand="0" w:noVBand="1"/>
      </w:tblPr>
      <w:tblGrid>
        <w:gridCol w:w="557"/>
        <w:gridCol w:w="5933"/>
        <w:gridCol w:w="2257"/>
      </w:tblGrid>
      <w:tr w:rsidR="009873D6" w:rsidRPr="00A07C07" w14:paraId="1F8BEEFE" w14:textId="77777777" w:rsidTr="00114334">
        <w:trPr>
          <w:jc w:val="center"/>
        </w:trPr>
        <w:tc>
          <w:tcPr>
            <w:tcW w:w="557"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43834AEC" w14:textId="77777777" w:rsidR="009873D6" w:rsidRDefault="009873D6" w:rsidP="00114334">
            <w:pPr>
              <w:suppressAutoHyphens/>
              <w:autoSpaceDE w:val="0"/>
              <w:autoSpaceDN w:val="0"/>
              <w:adjustRightInd w:val="0"/>
              <w:jc w:val="both"/>
              <w:rPr>
                <w:rFonts w:eastAsia="Calibri"/>
                <w:b/>
                <w:bCs/>
                <w:color w:val="000000"/>
                <w:sz w:val="23"/>
                <w:szCs w:val="23"/>
                <w:lang w:eastAsia="en-IN"/>
              </w:rPr>
            </w:pPr>
            <w:r w:rsidRPr="00A07C07">
              <w:rPr>
                <w:rFonts w:eastAsia="Calibri"/>
                <w:b/>
                <w:bCs/>
                <w:color w:val="000000"/>
                <w:sz w:val="23"/>
                <w:szCs w:val="23"/>
                <w:lang w:eastAsia="en-IN"/>
              </w:rPr>
              <w:t>Sl.</w:t>
            </w:r>
          </w:p>
          <w:p w14:paraId="1EDE1202" w14:textId="77777777" w:rsidR="009873D6" w:rsidRPr="00A07C07" w:rsidRDefault="009873D6" w:rsidP="00114334">
            <w:pPr>
              <w:suppressAutoHyphens/>
              <w:autoSpaceDE w:val="0"/>
              <w:autoSpaceDN w:val="0"/>
              <w:adjustRightInd w:val="0"/>
              <w:jc w:val="both"/>
              <w:rPr>
                <w:rFonts w:eastAsia="Calibri"/>
                <w:b/>
                <w:bCs/>
                <w:color w:val="000000"/>
                <w:sz w:val="23"/>
                <w:szCs w:val="23"/>
                <w:lang w:eastAsia="en-IN"/>
              </w:rPr>
            </w:pPr>
            <w:r>
              <w:rPr>
                <w:rFonts w:eastAsia="Calibri"/>
                <w:b/>
                <w:bCs/>
                <w:color w:val="000000"/>
                <w:sz w:val="23"/>
                <w:szCs w:val="23"/>
                <w:lang w:eastAsia="en-IN"/>
              </w:rPr>
              <w:t>No.</w:t>
            </w:r>
          </w:p>
        </w:tc>
        <w:tc>
          <w:tcPr>
            <w:tcW w:w="5933"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48659B23" w14:textId="77777777" w:rsidR="009873D6" w:rsidRPr="00A07C07" w:rsidRDefault="009873D6" w:rsidP="00114334">
            <w:pPr>
              <w:suppressAutoHyphens/>
              <w:autoSpaceDE w:val="0"/>
              <w:autoSpaceDN w:val="0"/>
              <w:adjustRightInd w:val="0"/>
              <w:jc w:val="both"/>
              <w:rPr>
                <w:rFonts w:eastAsia="Calibri"/>
                <w:b/>
                <w:bCs/>
                <w:color w:val="000000"/>
                <w:sz w:val="23"/>
                <w:szCs w:val="23"/>
                <w:lang w:eastAsia="en-IN"/>
              </w:rPr>
            </w:pPr>
            <w:r w:rsidRPr="00A07C07">
              <w:rPr>
                <w:rFonts w:eastAsia="Calibri"/>
                <w:b/>
                <w:bCs/>
                <w:color w:val="000000"/>
                <w:sz w:val="23"/>
                <w:szCs w:val="23"/>
                <w:lang w:eastAsia="en-IN"/>
              </w:rPr>
              <w:t>Scope of the Transmission Scheme</w:t>
            </w:r>
          </w:p>
        </w:tc>
        <w:tc>
          <w:tcPr>
            <w:tcW w:w="2257"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7CFD6155" w14:textId="77777777" w:rsidR="009873D6" w:rsidRPr="00A07C07" w:rsidRDefault="009873D6" w:rsidP="00114334">
            <w:pPr>
              <w:suppressAutoHyphens/>
              <w:autoSpaceDE w:val="0"/>
              <w:autoSpaceDN w:val="0"/>
              <w:adjustRightInd w:val="0"/>
              <w:jc w:val="both"/>
              <w:rPr>
                <w:rFonts w:eastAsia="Calibri"/>
                <w:b/>
                <w:bCs/>
                <w:color w:val="000000"/>
                <w:sz w:val="23"/>
                <w:szCs w:val="23"/>
                <w:lang w:eastAsia="en-IN"/>
              </w:rPr>
            </w:pPr>
            <w:r w:rsidRPr="00A07C07">
              <w:rPr>
                <w:rFonts w:eastAsia="Calibri"/>
                <w:b/>
                <w:bCs/>
                <w:color w:val="000000"/>
                <w:sz w:val="23"/>
                <w:szCs w:val="23"/>
                <w:lang w:eastAsia="en-IN"/>
              </w:rPr>
              <w:t>Scheduled COD in months from Effective Date</w:t>
            </w:r>
          </w:p>
        </w:tc>
      </w:tr>
      <w:tr w:rsidR="009873D6" w:rsidRPr="00A07C07" w14:paraId="3C1B204B" w14:textId="77777777" w:rsidTr="00452C80">
        <w:trPr>
          <w:tblHeader/>
          <w:jc w:val="center"/>
        </w:trPr>
        <w:tc>
          <w:tcPr>
            <w:tcW w:w="557"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hideMark/>
          </w:tcPr>
          <w:p w14:paraId="565C5C84" w14:textId="77777777" w:rsidR="009873D6" w:rsidRPr="00A07C07" w:rsidRDefault="009873D6" w:rsidP="009873D6">
            <w:pPr>
              <w:widowControl w:val="0"/>
              <w:numPr>
                <w:ilvl w:val="0"/>
                <w:numId w:val="28"/>
              </w:numPr>
              <w:tabs>
                <w:tab w:val="left" w:pos="1823"/>
              </w:tabs>
              <w:autoSpaceDE w:val="0"/>
              <w:autoSpaceDN w:val="0"/>
              <w:contextualSpacing/>
              <w:rPr>
                <w:color w:val="000000"/>
                <w:sz w:val="23"/>
                <w:szCs w:val="23"/>
                <w:lang w:eastAsia="en-IN"/>
              </w:rPr>
            </w:pPr>
          </w:p>
        </w:tc>
        <w:tc>
          <w:tcPr>
            <w:tcW w:w="593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F656B83" w14:textId="77777777" w:rsidR="00B51155" w:rsidRDefault="00B51155" w:rsidP="00B51155">
            <w:pPr>
              <w:ind w:left="125" w:right="101"/>
              <w:jc w:val="both"/>
              <w:rPr>
                <w:color w:val="000000"/>
                <w:sz w:val="23"/>
                <w:szCs w:val="23"/>
              </w:rPr>
            </w:pPr>
            <w:r w:rsidRPr="00452C80">
              <w:rPr>
                <w:color w:val="000000"/>
                <w:sz w:val="23"/>
                <w:szCs w:val="23"/>
              </w:rPr>
              <w:t>Augmentation of transformation capacity at KPS2 (GIS) by 2x1500 MVA, 765/400 kV ICT on Bus section-I (5th &amp; 6th) &amp; 2x1500 MVA, 765/400 kV ICT on Bus section-II (7th &amp; 8th) &amp; 2 Nos. 400 kV bays at Bus Section-I for RE interconnection and 3 Nos</w:t>
            </w:r>
            <w:r w:rsidRPr="007627B5">
              <w:rPr>
                <w:color w:val="000000"/>
                <w:sz w:val="23"/>
                <w:szCs w:val="23"/>
              </w:rPr>
              <w:t xml:space="preserve">. 400 kV bays at Bus Section-II for RE interconnection </w:t>
            </w:r>
          </w:p>
          <w:p w14:paraId="10DA4680" w14:textId="77777777" w:rsidR="00B51155" w:rsidRDefault="00B51155" w:rsidP="00B51155">
            <w:pPr>
              <w:ind w:left="125" w:right="101"/>
              <w:jc w:val="both"/>
              <w:rPr>
                <w:color w:val="000000"/>
                <w:sz w:val="23"/>
                <w:szCs w:val="23"/>
              </w:rPr>
            </w:pPr>
            <w:r w:rsidRPr="007627B5">
              <w:rPr>
                <w:color w:val="000000"/>
                <w:sz w:val="23"/>
                <w:szCs w:val="23"/>
              </w:rPr>
              <w:sym w:font="Symbol" w:char="F0B7"/>
            </w:r>
            <w:r w:rsidRPr="007627B5">
              <w:rPr>
                <w:color w:val="000000"/>
                <w:sz w:val="23"/>
                <w:szCs w:val="23"/>
              </w:rPr>
              <w:t xml:space="preserve"> 1500 MVA, 765/400 kV ICT – 4 Nos. </w:t>
            </w:r>
          </w:p>
          <w:p w14:paraId="20CF6209" w14:textId="77777777" w:rsidR="00B51155" w:rsidRDefault="00B51155" w:rsidP="00B51155">
            <w:pPr>
              <w:ind w:left="125" w:right="101"/>
              <w:jc w:val="both"/>
              <w:rPr>
                <w:color w:val="000000"/>
                <w:sz w:val="23"/>
                <w:szCs w:val="23"/>
              </w:rPr>
            </w:pPr>
            <w:r w:rsidRPr="007627B5">
              <w:rPr>
                <w:color w:val="000000"/>
                <w:sz w:val="23"/>
                <w:szCs w:val="23"/>
              </w:rPr>
              <w:lastRenderedPageBreak/>
              <w:sym w:font="Symbol" w:char="F0B7"/>
            </w:r>
            <w:r w:rsidRPr="007627B5">
              <w:rPr>
                <w:color w:val="000000"/>
                <w:sz w:val="23"/>
                <w:szCs w:val="23"/>
              </w:rPr>
              <w:t xml:space="preserve"> 765 kV bays – 4 Nos. [2 Nos. complete Dia for 2 ICTs (one on each bus section) and balance 2 ICTs to be terminated in spare bays (one on each section)] </w:t>
            </w:r>
          </w:p>
          <w:p w14:paraId="761BE23C" w14:textId="4EF0BC53" w:rsidR="009873D6" w:rsidRPr="00A07C07" w:rsidRDefault="00B51155" w:rsidP="00ED1B7C">
            <w:pPr>
              <w:ind w:left="125" w:right="101"/>
              <w:jc w:val="both"/>
              <w:rPr>
                <w:sz w:val="23"/>
                <w:szCs w:val="23"/>
              </w:rPr>
            </w:pPr>
            <w:r w:rsidRPr="007627B5">
              <w:rPr>
                <w:color w:val="000000"/>
                <w:sz w:val="23"/>
                <w:szCs w:val="23"/>
              </w:rPr>
              <w:sym w:font="Symbol" w:char="F0B7"/>
            </w:r>
            <w:r w:rsidRPr="007627B5">
              <w:rPr>
                <w:color w:val="000000"/>
                <w:sz w:val="23"/>
                <w:szCs w:val="23"/>
              </w:rPr>
              <w:t xml:space="preserve"> 400 kV bays– 10 Nos. [4 Nos. ICT bays (2 on each section) &amp; 5 Nos. line bays (2 on bus section-I &amp; 3 on bus section</w:t>
            </w:r>
            <w:r>
              <w:rPr>
                <w:color w:val="000000"/>
                <w:sz w:val="23"/>
                <w:szCs w:val="23"/>
              </w:rPr>
              <w:t>-</w:t>
            </w:r>
            <w:r w:rsidRPr="007627B5">
              <w:rPr>
                <w:color w:val="000000"/>
                <w:sz w:val="23"/>
                <w:szCs w:val="23"/>
              </w:rPr>
              <w:t xml:space="preserve">II) along with 1 </w:t>
            </w:r>
            <w:proofErr w:type="gramStart"/>
            <w:r w:rsidRPr="007627B5">
              <w:rPr>
                <w:color w:val="000000"/>
                <w:sz w:val="23"/>
                <w:szCs w:val="23"/>
              </w:rPr>
              <w:t>No. bay</w:t>
            </w:r>
            <w:proofErr w:type="gramEnd"/>
            <w:r w:rsidRPr="007627B5">
              <w:rPr>
                <w:color w:val="000000"/>
                <w:sz w:val="23"/>
                <w:szCs w:val="23"/>
              </w:rPr>
              <w:t xml:space="preserve"> on Bus Section-II for Dia completion]</w:t>
            </w:r>
          </w:p>
        </w:tc>
        <w:tc>
          <w:tcPr>
            <w:tcW w:w="225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6C31B86" w14:textId="20F6F96A" w:rsidR="009873D6" w:rsidRPr="00A07C07" w:rsidRDefault="00065DF8" w:rsidP="00452C80">
            <w:pPr>
              <w:suppressAutoHyphens/>
              <w:autoSpaceDE w:val="0"/>
              <w:autoSpaceDN w:val="0"/>
              <w:adjustRightInd w:val="0"/>
              <w:jc w:val="center"/>
              <w:rPr>
                <w:rFonts w:eastAsia="Calibri"/>
                <w:color w:val="000000"/>
                <w:sz w:val="23"/>
                <w:szCs w:val="23"/>
              </w:rPr>
            </w:pPr>
            <w:r>
              <w:rPr>
                <w:rFonts w:eastAsia="Calibri"/>
                <w:color w:val="000000"/>
                <w:sz w:val="23"/>
                <w:szCs w:val="23"/>
              </w:rPr>
              <w:lastRenderedPageBreak/>
              <w:t>21</w:t>
            </w:r>
            <w:r w:rsidR="009873D6" w:rsidRPr="00A07C07">
              <w:rPr>
                <w:rFonts w:eastAsia="Calibri"/>
                <w:color w:val="000000"/>
                <w:sz w:val="23"/>
                <w:szCs w:val="23"/>
              </w:rPr>
              <w:t xml:space="preserve"> Months</w:t>
            </w:r>
          </w:p>
          <w:p w14:paraId="2603AF22" w14:textId="77777777" w:rsidR="009873D6" w:rsidRPr="00A07C07" w:rsidRDefault="009873D6" w:rsidP="00452C80">
            <w:pPr>
              <w:suppressAutoHyphens/>
              <w:autoSpaceDE w:val="0"/>
              <w:autoSpaceDN w:val="0"/>
              <w:adjustRightInd w:val="0"/>
              <w:jc w:val="center"/>
              <w:rPr>
                <w:rFonts w:eastAsia="Calibri"/>
                <w:color w:val="000000"/>
                <w:sz w:val="23"/>
                <w:szCs w:val="23"/>
              </w:rPr>
            </w:pPr>
          </w:p>
          <w:p w14:paraId="766281D1" w14:textId="77777777" w:rsidR="009873D6" w:rsidRPr="00A07C07" w:rsidRDefault="009873D6" w:rsidP="00452C80">
            <w:pPr>
              <w:suppressAutoHyphens/>
              <w:autoSpaceDE w:val="0"/>
              <w:autoSpaceDN w:val="0"/>
              <w:adjustRightInd w:val="0"/>
              <w:jc w:val="center"/>
              <w:rPr>
                <w:rFonts w:eastAsia="Calibri"/>
                <w:color w:val="000000"/>
                <w:sz w:val="23"/>
                <w:szCs w:val="23"/>
                <w:lang w:eastAsia="en-IN"/>
              </w:rPr>
            </w:pPr>
          </w:p>
        </w:tc>
      </w:tr>
    </w:tbl>
    <w:p w14:paraId="3C474DC3" w14:textId="2509AB66" w:rsidR="005F50FF" w:rsidRPr="00921FFF" w:rsidRDefault="005F50FF" w:rsidP="00921FFF">
      <w:pPr>
        <w:spacing w:line="480" w:lineRule="auto"/>
        <w:jc w:val="both"/>
        <w:rPr>
          <w:rFonts w:ascii="Book Antiqua" w:hAnsi="Book Antiqua"/>
          <w:b/>
          <w:bCs/>
          <w:color w:val="000000"/>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E4F1127"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E0372A" w:rsidRPr="00E0372A">
        <w:rPr>
          <w:rFonts w:ascii="Book Antiqua" w:hAnsi="Book Antiqua" w:cs="Arial"/>
          <w:b/>
          <w:bCs/>
          <w:sz w:val="22"/>
          <w:szCs w:val="22"/>
        </w:rPr>
        <w:t xml:space="preserve">Transmission System for evacuation of power from potential Renewable Energy Zone in </w:t>
      </w:r>
      <w:proofErr w:type="spellStart"/>
      <w:r w:rsidR="00E0372A" w:rsidRPr="00E0372A">
        <w:rPr>
          <w:rFonts w:ascii="Book Antiqua" w:hAnsi="Book Antiqua" w:cs="Arial"/>
          <w:b/>
          <w:bCs/>
          <w:sz w:val="22"/>
          <w:szCs w:val="22"/>
        </w:rPr>
        <w:t>Khavda</w:t>
      </w:r>
      <w:proofErr w:type="spellEnd"/>
      <w:r w:rsidR="00E0372A" w:rsidRPr="00E0372A">
        <w:rPr>
          <w:rFonts w:ascii="Book Antiqua" w:hAnsi="Book Antiqua" w:cs="Arial"/>
          <w:b/>
          <w:bCs/>
          <w:sz w:val="22"/>
          <w:szCs w:val="22"/>
        </w:rPr>
        <w:t xml:space="preserve"> area of Gujarat under Phase-IV (7 GW) Part E2</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59F19C6"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270F24">
        <w:rPr>
          <w:rFonts w:ascii="Book Antiqua" w:eastAsia="Calibri" w:hAnsi="Book Antiqua" w:cs="Arial"/>
          <w:b/>
          <w:bCs/>
          <w:color w:val="0000FF"/>
          <w:sz w:val="22"/>
          <w:szCs w:val="22"/>
        </w:rPr>
        <w:t>04</w:t>
      </w:r>
      <w:r w:rsidR="00200A77" w:rsidRPr="003A3471">
        <w:rPr>
          <w:rFonts w:ascii="Book Antiqua" w:eastAsia="Calibri" w:hAnsi="Book Antiqua" w:cs="Arial"/>
          <w:b/>
          <w:bCs/>
          <w:color w:val="0000FF"/>
          <w:sz w:val="22"/>
          <w:szCs w:val="22"/>
        </w:rPr>
        <w:t>.</w:t>
      </w:r>
      <w:r w:rsidR="00641052">
        <w:rPr>
          <w:rFonts w:ascii="Book Antiqua" w:eastAsia="Calibri" w:hAnsi="Book Antiqua" w:cs="Arial"/>
          <w:b/>
          <w:bCs/>
          <w:color w:val="0000FF"/>
          <w:sz w:val="22"/>
          <w:szCs w:val="22"/>
        </w:rPr>
        <w:t>0</w:t>
      </w:r>
      <w:r w:rsidR="009873D6">
        <w:rPr>
          <w:rFonts w:ascii="Book Antiqua" w:eastAsia="Calibri" w:hAnsi="Book Antiqua" w:cs="Arial"/>
          <w:b/>
          <w:bCs/>
          <w:color w:val="0000FF"/>
          <w:sz w:val="22"/>
          <w:szCs w:val="22"/>
        </w:rPr>
        <w:t>7</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576991B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270F2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.07.2024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5FEE112"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70F2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.07.2024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8B26410"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270F2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.07.2024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455620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70F2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.07.2024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408AFF40" w14:textId="1058891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934332">
        <w:rPr>
          <w:rFonts w:ascii="Book Antiqua" w:hAnsi="Book Antiqua"/>
          <w:lang w:val="en-GB"/>
        </w:rPr>
        <w:t xml:space="preserve">Rahul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599E9084"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934332">
        <w:rPr>
          <w:rFonts w:ascii="Book Antiqua" w:hAnsi="Book Antiqua"/>
          <w:lang w:val="en-GB"/>
        </w:rPr>
        <w:t>Mool Chand Khichar</w:t>
      </w:r>
      <w:r w:rsidR="00DB3E07">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7C016955" w14:textId="28EDFBFA" w:rsidR="003C6E67" w:rsidRPr="003C6E67" w:rsidRDefault="009B333E" w:rsidP="00577C1D">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1AD098AD"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2948A5">
        <w:rPr>
          <w:rFonts w:ascii="Book Antiqua" w:hAnsi="Book Antiqua"/>
          <w:lang w:val="en-GB"/>
        </w:rPr>
        <w:t>2369</w:t>
      </w:r>
    </w:p>
    <w:p w14:paraId="4F43BAB7" w14:textId="3935A2D2"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w:t>
      </w:r>
      <w:r w:rsidR="002948A5" w:rsidRPr="003C6E67">
        <w:rPr>
          <w:rFonts w:ascii="Book Antiqua" w:hAnsi="Book Antiqua"/>
          <w:lang w:val="en-GB"/>
        </w:rPr>
        <w:t>9205472328</w:t>
      </w:r>
      <w:r w:rsidR="00577C1D">
        <w:rPr>
          <w:rFonts w:ascii="Book Antiqua" w:hAnsi="Book Antiqua"/>
          <w:lang w:val="en-GB"/>
        </w:rPr>
        <w:t>/</w:t>
      </w:r>
      <w:r w:rsidR="002948A5">
        <w:rPr>
          <w:rFonts w:ascii="Book Antiqua" w:hAnsi="Book Antiqua"/>
          <w:lang w:val="en-GB"/>
        </w:rPr>
        <w:t>9799211471</w:t>
      </w:r>
    </w:p>
    <w:p w14:paraId="73F42699" w14:textId="02B6DB3D"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577C1D" w:rsidRPr="0092314C">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1476E" w14:textId="77777777" w:rsidR="00D10F09" w:rsidRDefault="00D10F09" w:rsidP="006A0DCE">
      <w:r>
        <w:separator/>
      </w:r>
    </w:p>
  </w:endnote>
  <w:endnote w:type="continuationSeparator" w:id="0">
    <w:p w14:paraId="23F2A993" w14:textId="77777777" w:rsidR="00D10F09" w:rsidRDefault="00D10F09" w:rsidP="006A0DCE">
      <w:r>
        <w:continuationSeparator/>
      </w:r>
    </w:p>
  </w:endnote>
  <w:endnote w:type="continuationNotice" w:id="1">
    <w:p w14:paraId="163AE656" w14:textId="77777777" w:rsidR="00D10F09" w:rsidRDefault="00D10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BE0F2" w14:textId="77777777" w:rsidR="00D10F09" w:rsidRDefault="00D10F09" w:rsidP="006A0DCE">
      <w:r>
        <w:separator/>
      </w:r>
    </w:p>
  </w:footnote>
  <w:footnote w:type="continuationSeparator" w:id="0">
    <w:p w14:paraId="214445B6" w14:textId="77777777" w:rsidR="00D10F09" w:rsidRDefault="00D10F09" w:rsidP="006A0DCE">
      <w:r>
        <w:continuationSeparator/>
      </w:r>
    </w:p>
  </w:footnote>
  <w:footnote w:type="continuationNotice" w:id="1">
    <w:p w14:paraId="6CF88389" w14:textId="77777777" w:rsidR="00D10F09" w:rsidRDefault="00D10F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1"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2"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25"/>
  </w:num>
  <w:num w:numId="4" w16cid:durableId="1084718036">
    <w:abstractNumId w:val="0"/>
  </w:num>
  <w:num w:numId="5" w16cid:durableId="100605253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1"/>
  </w:num>
  <w:num w:numId="8" w16cid:durableId="1320886045">
    <w:abstractNumId w:val="2"/>
  </w:num>
  <w:num w:numId="9" w16cid:durableId="106394449">
    <w:abstractNumId w:val="11"/>
  </w:num>
  <w:num w:numId="10" w16cid:durableId="551580508">
    <w:abstractNumId w:val="27"/>
  </w:num>
  <w:num w:numId="11" w16cid:durableId="1266963966">
    <w:abstractNumId w:val="15"/>
  </w:num>
  <w:num w:numId="12" w16cid:durableId="2028601497">
    <w:abstractNumId w:val="28"/>
  </w:num>
  <w:num w:numId="13" w16cid:durableId="439837595">
    <w:abstractNumId w:val="26"/>
  </w:num>
  <w:num w:numId="14" w16cid:durableId="526604710">
    <w:abstractNumId w:val="10"/>
  </w:num>
  <w:num w:numId="15" w16cid:durableId="1830439981">
    <w:abstractNumId w:val="29"/>
  </w:num>
  <w:num w:numId="16" w16cid:durableId="1944261028">
    <w:abstractNumId w:val="12"/>
  </w:num>
  <w:num w:numId="17" w16cid:durableId="1914389171">
    <w:abstractNumId w:val="17"/>
  </w:num>
  <w:num w:numId="18" w16cid:durableId="1460027834">
    <w:abstractNumId w:val="7"/>
  </w:num>
  <w:num w:numId="19" w16cid:durableId="1723358833">
    <w:abstractNumId w:val="6"/>
  </w:num>
  <w:num w:numId="20" w16cid:durableId="1286734852">
    <w:abstractNumId w:val="23"/>
  </w:num>
  <w:num w:numId="21" w16cid:durableId="536702132">
    <w:abstractNumId w:val="24"/>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3"/>
  </w:num>
  <w:num w:numId="25" w16cid:durableId="970750328">
    <w:abstractNumId w:val="22"/>
  </w:num>
  <w:num w:numId="26" w16cid:durableId="1594242850">
    <w:abstractNumId w:val="8"/>
  </w:num>
  <w:num w:numId="27" w16cid:durableId="2124497584">
    <w:abstractNumId w:val="14"/>
  </w:num>
  <w:num w:numId="28" w16cid:durableId="807094576">
    <w:abstractNumId w:val="19"/>
  </w:num>
  <w:num w:numId="29" w16cid:durableId="783042419">
    <w:abstractNumId w:val="16"/>
  </w:num>
  <w:num w:numId="30" w16cid:durableId="689720349">
    <w:abstractNumId w:val="18"/>
  </w:num>
  <w:num w:numId="31" w16cid:durableId="8730066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3256"/>
    <w:rsid w:val="00034D01"/>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B1E86"/>
    <w:rsid w:val="000B37F5"/>
    <w:rsid w:val="000B3C3C"/>
    <w:rsid w:val="000B41DB"/>
    <w:rsid w:val="000B56DC"/>
    <w:rsid w:val="000B5CC4"/>
    <w:rsid w:val="000B63F6"/>
    <w:rsid w:val="000B6697"/>
    <w:rsid w:val="000C4C49"/>
    <w:rsid w:val="000D2A44"/>
    <w:rsid w:val="000D3F6C"/>
    <w:rsid w:val="000D7B97"/>
    <w:rsid w:val="000E244C"/>
    <w:rsid w:val="000E598D"/>
    <w:rsid w:val="000E6D42"/>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0F24"/>
    <w:rsid w:val="00271842"/>
    <w:rsid w:val="00273D7B"/>
    <w:rsid w:val="002756E9"/>
    <w:rsid w:val="00275734"/>
    <w:rsid w:val="0027766A"/>
    <w:rsid w:val="002821E6"/>
    <w:rsid w:val="00290D5E"/>
    <w:rsid w:val="002948A5"/>
    <w:rsid w:val="00297D25"/>
    <w:rsid w:val="002A088D"/>
    <w:rsid w:val="002A4CB9"/>
    <w:rsid w:val="002A5D98"/>
    <w:rsid w:val="002A6E84"/>
    <w:rsid w:val="002B1216"/>
    <w:rsid w:val="002B360E"/>
    <w:rsid w:val="002B6A30"/>
    <w:rsid w:val="002C6E3B"/>
    <w:rsid w:val="002C7CA9"/>
    <w:rsid w:val="002D6D67"/>
    <w:rsid w:val="002F0351"/>
    <w:rsid w:val="003030CD"/>
    <w:rsid w:val="00303EA1"/>
    <w:rsid w:val="003052CE"/>
    <w:rsid w:val="00311347"/>
    <w:rsid w:val="003124C7"/>
    <w:rsid w:val="00314D04"/>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7E4B"/>
    <w:rsid w:val="00380CAE"/>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26A0F"/>
    <w:rsid w:val="00431B0A"/>
    <w:rsid w:val="00432D75"/>
    <w:rsid w:val="0043497B"/>
    <w:rsid w:val="00436712"/>
    <w:rsid w:val="004372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7072"/>
    <w:rsid w:val="004D3BBC"/>
    <w:rsid w:val="004D4198"/>
    <w:rsid w:val="004D77DA"/>
    <w:rsid w:val="004E003E"/>
    <w:rsid w:val="004E15BF"/>
    <w:rsid w:val="004E2407"/>
    <w:rsid w:val="004E48FF"/>
    <w:rsid w:val="004F640B"/>
    <w:rsid w:val="00503B80"/>
    <w:rsid w:val="00517783"/>
    <w:rsid w:val="005252A1"/>
    <w:rsid w:val="00527339"/>
    <w:rsid w:val="00543319"/>
    <w:rsid w:val="00545BAA"/>
    <w:rsid w:val="00554966"/>
    <w:rsid w:val="00554DCE"/>
    <w:rsid w:val="005604DE"/>
    <w:rsid w:val="00564B88"/>
    <w:rsid w:val="00571104"/>
    <w:rsid w:val="00571C58"/>
    <w:rsid w:val="00577C1D"/>
    <w:rsid w:val="00582A06"/>
    <w:rsid w:val="00586187"/>
    <w:rsid w:val="00590F9F"/>
    <w:rsid w:val="005955FB"/>
    <w:rsid w:val="00595BF4"/>
    <w:rsid w:val="00596A47"/>
    <w:rsid w:val="005A0E48"/>
    <w:rsid w:val="005A3C7A"/>
    <w:rsid w:val="005A5148"/>
    <w:rsid w:val="005B1C79"/>
    <w:rsid w:val="005C64FF"/>
    <w:rsid w:val="005C6873"/>
    <w:rsid w:val="005D38CB"/>
    <w:rsid w:val="005D6265"/>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918C7"/>
    <w:rsid w:val="006A0DCE"/>
    <w:rsid w:val="006A2447"/>
    <w:rsid w:val="006A3C07"/>
    <w:rsid w:val="006B6881"/>
    <w:rsid w:val="006C3AF4"/>
    <w:rsid w:val="006D303C"/>
    <w:rsid w:val="006D69EA"/>
    <w:rsid w:val="006E0153"/>
    <w:rsid w:val="006E100C"/>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72D1E"/>
    <w:rsid w:val="0078215D"/>
    <w:rsid w:val="007828DF"/>
    <w:rsid w:val="007859D1"/>
    <w:rsid w:val="00786E89"/>
    <w:rsid w:val="0079046B"/>
    <w:rsid w:val="007A3034"/>
    <w:rsid w:val="007A3140"/>
    <w:rsid w:val="007A6384"/>
    <w:rsid w:val="007B685F"/>
    <w:rsid w:val="007B6861"/>
    <w:rsid w:val="007C121A"/>
    <w:rsid w:val="007C3888"/>
    <w:rsid w:val="007C71E3"/>
    <w:rsid w:val="007D1CB7"/>
    <w:rsid w:val="007E5D57"/>
    <w:rsid w:val="007F05DE"/>
    <w:rsid w:val="007F4C09"/>
    <w:rsid w:val="007F59B6"/>
    <w:rsid w:val="00804F6E"/>
    <w:rsid w:val="00811CC1"/>
    <w:rsid w:val="0081534E"/>
    <w:rsid w:val="00815E20"/>
    <w:rsid w:val="00821180"/>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1FFF"/>
    <w:rsid w:val="00922802"/>
    <w:rsid w:val="009246E3"/>
    <w:rsid w:val="009248DF"/>
    <w:rsid w:val="00924E0E"/>
    <w:rsid w:val="00926E45"/>
    <w:rsid w:val="00934332"/>
    <w:rsid w:val="00935EC3"/>
    <w:rsid w:val="00936E86"/>
    <w:rsid w:val="009370A6"/>
    <w:rsid w:val="00945C9A"/>
    <w:rsid w:val="009509BE"/>
    <w:rsid w:val="00952EBF"/>
    <w:rsid w:val="00953332"/>
    <w:rsid w:val="0096392B"/>
    <w:rsid w:val="0097046E"/>
    <w:rsid w:val="009837D2"/>
    <w:rsid w:val="009873D6"/>
    <w:rsid w:val="009916A8"/>
    <w:rsid w:val="00996C9C"/>
    <w:rsid w:val="009A33A4"/>
    <w:rsid w:val="009B204C"/>
    <w:rsid w:val="009B333E"/>
    <w:rsid w:val="009B7F46"/>
    <w:rsid w:val="009C0F71"/>
    <w:rsid w:val="009C2222"/>
    <w:rsid w:val="009C28F0"/>
    <w:rsid w:val="009C2AF4"/>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D009C"/>
    <w:rsid w:val="00AD283F"/>
    <w:rsid w:val="00AD3642"/>
    <w:rsid w:val="00AD4E5D"/>
    <w:rsid w:val="00AE6806"/>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4DBA"/>
    <w:rsid w:val="00C66A7A"/>
    <w:rsid w:val="00C72401"/>
    <w:rsid w:val="00C76034"/>
    <w:rsid w:val="00C77C3E"/>
    <w:rsid w:val="00C83D60"/>
    <w:rsid w:val="00C859F2"/>
    <w:rsid w:val="00C9172C"/>
    <w:rsid w:val="00C91759"/>
    <w:rsid w:val="00C92147"/>
    <w:rsid w:val="00C965A8"/>
    <w:rsid w:val="00CA499C"/>
    <w:rsid w:val="00CA7D24"/>
    <w:rsid w:val="00CB0AD8"/>
    <w:rsid w:val="00CB135E"/>
    <w:rsid w:val="00CB1463"/>
    <w:rsid w:val="00CB2440"/>
    <w:rsid w:val="00CB7CBF"/>
    <w:rsid w:val="00CC5F5C"/>
    <w:rsid w:val="00CD23AF"/>
    <w:rsid w:val="00CD2E09"/>
    <w:rsid w:val="00CE13FD"/>
    <w:rsid w:val="00CE3660"/>
    <w:rsid w:val="00D031EC"/>
    <w:rsid w:val="00D10F09"/>
    <w:rsid w:val="00D1580B"/>
    <w:rsid w:val="00D15A6D"/>
    <w:rsid w:val="00D20282"/>
    <w:rsid w:val="00D20769"/>
    <w:rsid w:val="00D252ED"/>
    <w:rsid w:val="00D3178D"/>
    <w:rsid w:val="00D32050"/>
    <w:rsid w:val="00D352DE"/>
    <w:rsid w:val="00D4023A"/>
    <w:rsid w:val="00D41B30"/>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64DE"/>
    <w:rsid w:val="00DE666C"/>
    <w:rsid w:val="00DE7394"/>
    <w:rsid w:val="00DF1FC0"/>
    <w:rsid w:val="00E01921"/>
    <w:rsid w:val="00E0372A"/>
    <w:rsid w:val="00E0621C"/>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919A6"/>
    <w:rsid w:val="00E97281"/>
    <w:rsid w:val="00EA2605"/>
    <w:rsid w:val="00EA6827"/>
    <w:rsid w:val="00EB16B8"/>
    <w:rsid w:val="00EB17CD"/>
    <w:rsid w:val="00EC6A36"/>
    <w:rsid w:val="00ED0000"/>
    <w:rsid w:val="00ED195F"/>
    <w:rsid w:val="00ED1B7C"/>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8766A"/>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6</Pages>
  <Words>1543</Words>
  <Characters>8799</Characters>
  <Application>Microsoft Office Word</Application>
  <DocSecurity>0</DocSecurity>
  <Lines>73</Lines>
  <Paragraphs>20</Paragraphs>
  <ScaleCrop>false</ScaleCrop>
  <Company>Hewlett-Packard Company</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cp:lastModifiedBy>
  <cp:revision>264</cp:revision>
  <cp:lastPrinted>2023-01-01T22:58:00Z</cp:lastPrinted>
  <dcterms:created xsi:type="dcterms:W3CDTF">2021-08-31T20:13:00Z</dcterms:created>
  <dcterms:modified xsi:type="dcterms:W3CDTF">2024-06-26T06:25:00Z</dcterms:modified>
  <cp:contentStatus/>
</cp:coreProperties>
</file>