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7020AE59"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B460D6" w:rsidRPr="00B460D6">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B460D6" w:rsidRPr="00B460D6">
        <w:rPr>
          <w:rFonts w:ascii="Book Antiqua" w:hAnsi="Book Antiqua" w:cs="Arial"/>
          <w:b/>
          <w:bCs/>
          <w:color w:val="365F91" w:themeColor="accent1" w:themeShade="BF"/>
          <w:sz w:val="22"/>
          <w:szCs w:val="22"/>
        </w:rPr>
        <w:t>Khavda</w:t>
      </w:r>
      <w:proofErr w:type="spellEnd"/>
      <w:r w:rsidR="00B460D6" w:rsidRPr="00B460D6">
        <w:rPr>
          <w:rFonts w:ascii="Book Antiqua" w:hAnsi="Book Antiqua" w:cs="Arial"/>
          <w:b/>
          <w:bCs/>
          <w:color w:val="365F91" w:themeColor="accent1" w:themeShade="BF"/>
          <w:sz w:val="22"/>
          <w:szCs w:val="22"/>
        </w:rPr>
        <w:t xml:space="preserve"> area of Gujarat under Phase-IV (7 GW) Part E2</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EDCF783"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w:t>
      </w:r>
      <w:r w:rsidR="009A0ACC">
        <w:rPr>
          <w:rFonts w:ascii="Book Antiqua" w:hAnsi="Book Antiqua" w:cs="Arial"/>
          <w:b/>
          <w:bCs/>
          <w:color w:val="365F91" w:themeColor="accent1" w:themeShade="BF"/>
          <w:sz w:val="22"/>
          <w:szCs w:val="22"/>
        </w:rPr>
        <w:t>4</w:t>
      </w:r>
      <w:r>
        <w:rPr>
          <w:rFonts w:ascii="Book Antiqua" w:hAnsi="Book Antiqua" w:cs="Arial"/>
          <w:b/>
          <w:bCs/>
          <w:color w:val="365F91" w:themeColor="accent1" w:themeShade="BF"/>
          <w:sz w:val="22"/>
          <w:szCs w:val="22"/>
        </w:rPr>
        <w:t>-2</w:t>
      </w:r>
      <w:r w:rsidR="009A0ACC">
        <w:rPr>
          <w:rFonts w:ascii="Book Antiqua" w:hAnsi="Book Antiqua" w:cs="Arial"/>
          <w:b/>
          <w:bCs/>
          <w:color w:val="365F91" w:themeColor="accent1" w:themeShade="BF"/>
          <w:sz w:val="22"/>
          <w:szCs w:val="22"/>
        </w:rPr>
        <w:t>5</w:t>
      </w:r>
      <w:r>
        <w:rPr>
          <w:rFonts w:ascii="Book Antiqua" w:hAnsi="Book Antiqua" w:cs="Arial"/>
          <w:b/>
          <w:bCs/>
          <w:color w:val="365F91" w:themeColor="accent1" w:themeShade="BF"/>
          <w:sz w:val="22"/>
          <w:szCs w:val="22"/>
        </w:rPr>
        <w:t>/</w:t>
      </w:r>
      <w:r w:rsidR="00B460D6">
        <w:rPr>
          <w:rFonts w:ascii="Book Antiqua" w:hAnsi="Book Antiqua" w:cs="Arial"/>
          <w:b/>
          <w:bCs/>
          <w:color w:val="365F91" w:themeColor="accent1" w:themeShade="BF"/>
          <w:sz w:val="22"/>
          <w:szCs w:val="22"/>
        </w:rPr>
        <w:t>40</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EA6A32B"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575B07">
        <w:rPr>
          <w:rFonts w:ascii="Book Antiqua" w:hAnsi="Book Antiqua"/>
          <w:b/>
          <w:bCs/>
          <w:lang w:val="en-GB"/>
        </w:rPr>
        <w:t xml:space="preserve">Dwaipayan Sen </w:t>
      </w:r>
      <w:r w:rsidR="008B13C5" w:rsidRPr="008B13C5">
        <w:rPr>
          <w:rFonts w:ascii="Book Antiqua" w:hAnsi="Book Antiqua"/>
          <w:b/>
          <w:bCs/>
          <w:lang w:val="en-GB"/>
        </w:rPr>
        <w:t>(</w:t>
      </w:r>
      <w:r w:rsidR="00575B07">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2DC5218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575B07">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lastRenderedPageBreak/>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w:t>
      </w:r>
      <w:proofErr w:type="gramStart"/>
      <w:r w:rsidRPr="007C0FE9">
        <w:rPr>
          <w:rFonts w:ascii="Book Antiqua" w:hAnsi="Book Antiqua" w:cs="Arial"/>
          <w:sz w:val="22"/>
          <w:szCs w:val="22"/>
        </w:rPr>
        <w:t>CTUIL</w:t>
      </w:r>
      <w:proofErr w:type="gramEnd"/>
      <w:r w:rsidRPr="007C0FE9">
        <w:rPr>
          <w:rFonts w:ascii="Book Antiqua" w:hAnsi="Book Antiqua" w:cs="Arial"/>
          <w:sz w:val="22"/>
          <w:szCs w:val="22"/>
        </w:rPr>
        <w:t xml:space="preserve">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 xml:space="preserve">The arbitration shall be conducted by three arbitrators, who are retired High Court/Supreme Court Judges, one each to be nominated by the Contractor and the Employer and the third to be appointed by both the arbitrators in accordance with the </w:t>
      </w:r>
      <w:r w:rsidRPr="007C0FE9">
        <w:rPr>
          <w:rFonts w:ascii="Book Antiqua" w:hAnsi="Book Antiqua" w:cs="Arial"/>
          <w:sz w:val="22"/>
          <w:szCs w:val="22"/>
        </w:rPr>
        <w:lastRenderedPageBreak/>
        <w:t>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w:t>
      </w:r>
      <w:proofErr w:type="gramStart"/>
      <w:r w:rsidRPr="007C0FE9">
        <w:rPr>
          <w:rFonts w:ascii="Book Antiqua" w:hAnsi="Book Antiqua" w:cs="Arial"/>
          <w:sz w:val="22"/>
          <w:szCs w:val="22"/>
        </w:rPr>
        <w:t>arbitrator/ 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 xml:space="preserve">Power, </w:t>
      </w:r>
      <w:r w:rsidRPr="007C0FE9">
        <w:rPr>
          <w:rFonts w:ascii="Book Antiqua" w:hAnsi="Book Antiqua" w:cs="Arial"/>
          <w:bCs/>
          <w:sz w:val="22"/>
          <w:szCs w:val="22"/>
        </w:rPr>
        <w:lastRenderedPageBreak/>
        <w:t>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w:t>
      </w:r>
      <w:proofErr w:type="gramStart"/>
      <w:r w:rsidRPr="007C0FE9">
        <w:rPr>
          <w:rFonts w:ascii="Book Antiqua" w:hAnsi="Book Antiqua" w:cs="Arial"/>
          <w:bCs/>
          <w:sz w:val="22"/>
          <w:szCs w:val="22"/>
        </w:rPr>
        <w:t>case,</w:t>
      </w:r>
      <w:proofErr w:type="gramEnd"/>
      <w:r w:rsidRPr="007C0FE9">
        <w:rPr>
          <w:rFonts w:ascii="Book Antiqua" w:hAnsi="Book Antiqua" w:cs="Arial"/>
          <w:bCs/>
          <w:sz w:val="22"/>
          <w:szCs w:val="22"/>
        </w:rPr>
        <w:t xml:space="preserv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41AA79BA" w14:textId="77777777" w:rsidR="007C0FE9" w:rsidRPr="007C0FE9" w:rsidRDefault="007C0FE9"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lastRenderedPageBreak/>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process,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w:t>
      </w:r>
      <w:proofErr w:type="gramStart"/>
      <w:r w:rsidRPr="007C0FE9">
        <w:rPr>
          <w:rFonts w:ascii="Book Antiqua" w:hAnsi="Book Antiqua" w:cs="Arial"/>
          <w:bCs/>
          <w:sz w:val="22"/>
          <w:szCs w:val="22"/>
        </w:rPr>
        <w:t>agreement</w:t>
      </w:r>
      <w:proofErr w:type="gramEnd"/>
      <w:r w:rsidRPr="007C0FE9">
        <w:rPr>
          <w:rFonts w:ascii="Book Antiqua" w:hAnsi="Book Antiqua" w:cs="Arial"/>
          <w:bCs/>
          <w:sz w:val="22"/>
          <w:szCs w:val="22"/>
        </w:rPr>
        <w:t xml:space="preserve">,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Pr="003A7DEE"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44178" w14:textId="77777777" w:rsidR="00452583" w:rsidRDefault="00452583" w:rsidP="003E7F85">
      <w:r>
        <w:separator/>
      </w:r>
    </w:p>
  </w:endnote>
  <w:endnote w:type="continuationSeparator" w:id="0">
    <w:p w14:paraId="605B1A17" w14:textId="77777777" w:rsidR="00452583" w:rsidRDefault="00452583" w:rsidP="003E7F85">
      <w:r>
        <w:continuationSeparator/>
      </w:r>
    </w:p>
  </w:endnote>
  <w:endnote w:type="continuationNotice" w:id="1">
    <w:p w14:paraId="2F8D8176" w14:textId="77777777" w:rsidR="00452583" w:rsidRDefault="00452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0AA70" w14:textId="77777777" w:rsidR="00452583" w:rsidRDefault="00452583" w:rsidP="003E7F85">
      <w:r>
        <w:separator/>
      </w:r>
    </w:p>
  </w:footnote>
  <w:footnote w:type="continuationSeparator" w:id="0">
    <w:p w14:paraId="4D726B0F" w14:textId="77777777" w:rsidR="00452583" w:rsidRDefault="00452583" w:rsidP="003E7F85">
      <w:r>
        <w:continuationSeparator/>
      </w:r>
    </w:p>
  </w:footnote>
  <w:footnote w:type="continuationNotice" w:id="1">
    <w:p w14:paraId="4D779A04" w14:textId="77777777" w:rsidR="00452583" w:rsidRDefault="004525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352F"/>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3E"/>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5948</TotalTime>
  <Pages>43</Pages>
  <Words>15589</Words>
  <Characters>88861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cp:lastModifiedBy>
  <cp:revision>265</cp:revision>
  <cp:lastPrinted>2022-12-28T11:59:00Z</cp:lastPrinted>
  <dcterms:created xsi:type="dcterms:W3CDTF">2022-07-11T07:01:00Z</dcterms:created>
  <dcterms:modified xsi:type="dcterms:W3CDTF">2024-06-26T05:27:00Z</dcterms:modified>
  <cp:contentStatus/>
</cp:coreProperties>
</file>